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FC60EF">
        <w:trPr>
          <w:trHeight w:val="4117"/>
        </w:trPr>
        <w:tc>
          <w:tcPr>
            <w:tcW w:w="4536" w:type="dxa"/>
            <w:noWrap/>
          </w:tcPr>
          <w:p w:rsidR="00FC60EF" w:rsidRDefault="00FC60EF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C60EF">
              <w:rPr>
                <w:szCs w:val="28"/>
              </w:rPr>
              <w:pict>
                <v:shape id="_x0000_i0" o:spid="_x0000_i1025" type="#_x0000_t75" style="width:26.25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FC60EF" w:rsidRDefault="00FC60EF">
            <w:pPr>
              <w:ind w:left="-57"/>
              <w:jc w:val="center"/>
              <w:rPr>
                <w:sz w:val="8"/>
                <w:szCs w:val="4"/>
              </w:rPr>
            </w:pPr>
          </w:p>
          <w:p w:rsidR="00FC60EF" w:rsidRDefault="00994291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FC60EF" w:rsidRDefault="00FC60EF">
            <w:pPr>
              <w:ind w:left="-57"/>
              <w:jc w:val="center"/>
              <w:rPr>
                <w:sz w:val="8"/>
                <w:szCs w:val="8"/>
              </w:rPr>
            </w:pPr>
          </w:p>
          <w:p w:rsidR="00FC60EF" w:rsidRDefault="00994291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FC60EF" w:rsidRDefault="00994291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FC60EF" w:rsidRDefault="00994291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FC60EF" w:rsidRDefault="00994291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FC60EF" w:rsidRDefault="00994291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FC60EF" w:rsidRDefault="00FC60EF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FC60EF" w:rsidRDefault="00994291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 xml:space="preserve">ул. </w:t>
            </w:r>
            <w:r>
              <w:rPr>
                <w:spacing w:val="-4"/>
                <w:sz w:val="16"/>
                <w:szCs w:val="14"/>
              </w:rPr>
              <w:t>Инженерная, 92, г. Псков, 180019</w:t>
            </w:r>
          </w:p>
          <w:p w:rsidR="00FC60EF" w:rsidRDefault="00994291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FC60EF" w:rsidRPr="00B822A3" w:rsidRDefault="00994291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B822A3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B822A3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B822A3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B822A3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B822A3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FC60EF" w:rsidRDefault="00FC60EF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994291">
                  <w:rPr>
                    <w:color w:val="FFFFFF" w:themeColor="background1"/>
                  </w:rPr>
                  <w:t xml:space="preserve">11  </w:t>
                </w:r>
                <w:r w:rsidR="00994291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FC60EF" w:rsidRDefault="00FC60EF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FC60EF" w:rsidRDefault="00994291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31.01.2024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31/03-ГКУ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FC60EF" w:rsidRDefault="00FC60EF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FC60EF" w:rsidRDefault="00994291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FC60EF" w:rsidRDefault="00FC6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FC60EF" w:rsidRDefault="00FC60EF">
            <w:pPr>
              <w:rPr>
                <w:bCs/>
                <w:sz w:val="28"/>
                <w:szCs w:val="28"/>
              </w:rPr>
            </w:pPr>
          </w:p>
          <w:p w:rsidR="00FC60EF" w:rsidRDefault="00FC60EF">
            <w:pPr>
              <w:rPr>
                <w:bCs/>
                <w:sz w:val="28"/>
                <w:szCs w:val="28"/>
              </w:rPr>
            </w:pPr>
          </w:p>
          <w:p w:rsidR="00FC60EF" w:rsidRDefault="00FC60EF">
            <w:pPr>
              <w:rPr>
                <w:bCs/>
                <w:sz w:val="28"/>
                <w:szCs w:val="28"/>
              </w:rPr>
            </w:pPr>
          </w:p>
          <w:p w:rsidR="00FC60EF" w:rsidRDefault="00FC60EF">
            <w:pPr>
              <w:ind w:left="-47"/>
              <w:jc w:val="center"/>
              <w:rPr>
                <w:sz w:val="28"/>
              </w:rPr>
            </w:pPr>
          </w:p>
        </w:tc>
      </w:tr>
      <w:tr w:rsidR="00FC60EF">
        <w:tc>
          <w:tcPr>
            <w:tcW w:w="4536" w:type="dxa"/>
            <w:noWrap/>
          </w:tcPr>
          <w:p w:rsidR="00FC60EF" w:rsidRDefault="00994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FC60EF" w:rsidRDefault="00FC6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FC60EF" w:rsidRDefault="00FC60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0EF" w:rsidRDefault="00FC60EF">
      <w:pPr>
        <w:jc w:val="both"/>
        <w:rPr>
          <w:bCs/>
          <w:sz w:val="28"/>
          <w:szCs w:val="28"/>
        </w:rPr>
      </w:pPr>
    </w:p>
    <w:p w:rsidR="00FC60EF" w:rsidRDefault="00FC60EF">
      <w:pPr>
        <w:jc w:val="both"/>
        <w:rPr>
          <w:bCs/>
          <w:sz w:val="28"/>
          <w:szCs w:val="28"/>
        </w:rPr>
      </w:pPr>
    </w:p>
    <w:p w:rsidR="00FC60EF" w:rsidRDefault="00994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FC60EF" w:rsidRDefault="00994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FC60EF" w:rsidRDefault="00994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1февраля 2024 года</w:t>
      </w:r>
    </w:p>
    <w:p w:rsidR="00FC60EF" w:rsidRDefault="00994291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FC60EF" w:rsidRDefault="0099429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FC60EF" w:rsidRDefault="00994291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FC60EF" w:rsidRDefault="00FC60EF">
      <w:pPr>
        <w:jc w:val="both"/>
        <w:rPr>
          <w:bCs/>
          <w:sz w:val="28"/>
          <w:szCs w:val="28"/>
        </w:rPr>
      </w:pPr>
    </w:p>
    <w:p w:rsidR="00FC60EF" w:rsidRDefault="00994291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FC60EF" w:rsidRDefault="00994291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>Облачная погода. Ночью небольшой дождь. Днем небольшие осадки, местами умеренные, преимущественно мокрый снег. На дорога</w:t>
      </w:r>
      <w:r>
        <w:rPr>
          <w:color w:val="000000"/>
          <w:sz w:val="27"/>
          <w:szCs w:val="27"/>
        </w:rPr>
        <w:t>х местами гололедица. Ветер западных направлений умеренный, утром и днем местами порывистый.</w:t>
      </w:r>
      <w:r w:rsidR="00C667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Температура воздуха ночью и днем +0...+3 гр. В Пскове ночью небольшой дождь,</w:t>
      </w:r>
      <w:r w:rsidR="00C667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днем небольшие осадки.</w:t>
      </w:r>
      <w:r w:rsidR="00C667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Температура ночью и днем +1...+3 гр.</w:t>
      </w:r>
    </w:p>
    <w:p w:rsidR="00FC60EF" w:rsidRDefault="00994291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C66742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FC60EF" w:rsidRDefault="00994291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C66742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FC60EF" w:rsidRDefault="00FC60EF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FC60EF" w:rsidRDefault="00994291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FC60EF" w:rsidRDefault="00FC60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60EF" w:rsidRDefault="00994291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вни воды в реках и на Псковском и Чудском озерах около нормы для зимнего периода.</w:t>
      </w:r>
    </w:p>
    <w:p w:rsidR="00FC60EF" w:rsidRDefault="00994291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FC60EF" w:rsidRDefault="00FC60EF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FC60EF" w:rsidRDefault="00994291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31.01.2024</w:t>
      </w:r>
    </w:p>
    <w:p w:rsidR="00FC60EF" w:rsidRDefault="00FC60EF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FC60EF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FC60EF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C60EF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C60E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</w:t>
            </w:r>
          </w:p>
        </w:tc>
      </w:tr>
      <w:tr w:rsidR="00FC60E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C60EF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FC60EF" w:rsidRDefault="00FC60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C60EF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FC60EF" w:rsidRDefault="00FC60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C60EF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б</w:t>
            </w:r>
          </w:p>
        </w:tc>
      </w:tr>
      <w:tr w:rsidR="00FC60EF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</w:t>
            </w:r>
          </w:p>
        </w:tc>
      </w:tr>
      <w:tr w:rsidR="00FC60E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FC60EF" w:rsidRDefault="00FC60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C60E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FC60EF" w:rsidRDefault="00FC60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C60EF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C60EF" w:rsidRDefault="0099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0EF" w:rsidRDefault="009942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</w:tbl>
    <w:p w:rsidR="00FC60EF" w:rsidRDefault="00FC60EF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FC60EF" w:rsidRDefault="00994291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C667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FC60EF" w:rsidRDefault="0099429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C667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FC60EF" w:rsidRDefault="00FC60E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C60EF" w:rsidRDefault="00994291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FC60EF" w:rsidRDefault="00994291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FC60EF" w:rsidRDefault="00994291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</w:t>
      </w:r>
      <w:r>
        <w:rPr>
          <w:sz w:val="28"/>
          <w:szCs w:val="28"/>
        </w:rPr>
        <w:t>ил использования газового оборудования;</w:t>
      </w:r>
    </w:p>
    <w:p w:rsidR="00FC60EF" w:rsidRDefault="00994291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</w:t>
      </w:r>
      <w:r>
        <w:rPr>
          <w:rFonts w:eastAsia="Calibri"/>
          <w:sz w:val="28"/>
          <w:szCs w:val="28"/>
          <w:lang w:eastAsia="en-US"/>
        </w:rPr>
        <w:t>);</w:t>
      </w:r>
    </w:p>
    <w:p w:rsidR="00FC60EF" w:rsidRDefault="00994291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FC60EF" w:rsidRDefault="00994291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интенсивным использованием автомобильного транспорта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на дорогах област</w:t>
      </w:r>
      <w:r>
        <w:rPr>
          <w:sz w:val="28"/>
          <w:szCs w:val="28"/>
        </w:rPr>
        <w:t xml:space="preserve">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</w:t>
      </w:r>
      <w:r>
        <w:rPr>
          <w:sz w:val="28"/>
          <w:szCs w:val="28"/>
        </w:rPr>
        <w:t>метеоусловиями (мокрый снег, дождь,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гололедица),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FC60EF" w:rsidRDefault="00994291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FC60EF" w:rsidRDefault="00994291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FC60EF" w:rsidRDefault="00FC60EF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FC60EF" w:rsidRDefault="00994291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FC60EF" w:rsidRDefault="0099429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22 по 28 января 2024 года зарегистрировано 52 случая новой коронавир</w:t>
      </w:r>
      <w:r>
        <w:rPr>
          <w:sz w:val="28"/>
          <w:szCs w:val="28"/>
        </w:rPr>
        <w:t>усной инфекции (показатель заболеваемости 8,85 на 100 тыс. населения).</w:t>
      </w:r>
    </w:p>
    <w:p w:rsidR="00FC60EF" w:rsidRDefault="0099429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4902 случая острой респираторной вирусной инфекции (далее – ОРВИ), показатель заболеваемости составил 83,40 на 10 тысяч населения. В том числе зарегистрировано 57 лабораторно п</w:t>
      </w:r>
      <w:r>
        <w:rPr>
          <w:sz w:val="28"/>
          <w:szCs w:val="28"/>
        </w:rPr>
        <w:t>одтвержденных случаев гриппа.</w:t>
      </w:r>
    </w:p>
    <w:p w:rsidR="00FC60EF" w:rsidRDefault="0099429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4,2 %, в г. Пскове – на 11,7 %.</w:t>
      </w:r>
    </w:p>
    <w:p w:rsidR="00FC60EF" w:rsidRDefault="0099429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58,3 %.</w:t>
      </w:r>
    </w:p>
    <w:p w:rsidR="00FC60EF" w:rsidRDefault="00994291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2435 случаев ОРВИ, или 49,7 % от об</w:t>
      </w:r>
      <w:r>
        <w:rPr>
          <w:sz w:val="28"/>
          <w:szCs w:val="28"/>
        </w:rPr>
        <w:t>щего количества заболеваний по области.</w:t>
      </w:r>
    </w:p>
    <w:p w:rsidR="00FC60EF" w:rsidRDefault="00994291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кори. </w:t>
      </w:r>
    </w:p>
    <w:p w:rsidR="00FC60EF" w:rsidRDefault="009942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Псковской области по состоянию на 26.01.2024 зарегистрировано 18 случаев кишечной инфекции, в том числе </w:t>
      </w:r>
      <w:r>
        <w:rPr>
          <w:sz w:val="28"/>
          <w:szCs w:val="28"/>
        </w:rPr>
        <w:t>у 17 детей и  1 взрослого.</w:t>
      </w:r>
    </w:p>
    <w:p w:rsidR="00FC60EF" w:rsidRDefault="00994291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FC60EF" w:rsidRDefault="00994291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>в связи с не</w:t>
      </w:r>
      <w:r>
        <w:rPr>
          <w:spacing w:val="-1"/>
          <w:sz w:val="28"/>
          <w:szCs w:val="28"/>
        </w:rPr>
        <w:t xml:space="preserve">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FC60EF" w:rsidRDefault="00994291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располож</w:t>
      </w:r>
      <w:r>
        <w:rPr>
          <w:rStyle w:val="doccaption"/>
          <w:sz w:val="28"/>
          <w:szCs w:val="28"/>
        </w:rPr>
        <w:t>енной вблизи рп. Идрица городского поселения «Идрица» Себежского района Псковской области и территории, прилегающие к эпизоотическому очагу (неблагополучный пункт) введены ограничительные мероприятия.</w:t>
      </w:r>
    </w:p>
    <w:p w:rsidR="00FC60EF" w:rsidRDefault="00994291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FC60EF" w:rsidRDefault="00994291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FC60EF" w:rsidRDefault="00994291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 xml:space="preserve">сть </w:t>
      </w:r>
      <w:r>
        <w:rPr>
          <w:color w:val="000000" w:themeColor="text1"/>
          <w:sz w:val="28"/>
          <w:szCs w:val="28"/>
        </w:rPr>
        <w:t>возникновения (до 0,1) прои</w:t>
      </w:r>
      <w:r>
        <w:rPr>
          <w:sz w:val="28"/>
          <w:szCs w:val="28"/>
        </w:rPr>
        <w:t>сшествий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FC60EF" w:rsidRDefault="00FC60EF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FC60EF" w:rsidRDefault="00994291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FC60EF" w:rsidRDefault="00994291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данный прогноз до руководителей всех уровней, уточнить готовность сил и средств к действиям</w:t>
      </w:r>
      <w:r>
        <w:rPr>
          <w:sz w:val="28"/>
          <w:szCs w:val="28"/>
        </w:rPr>
        <w:t xml:space="preserve"> по складывающейся обстановке;</w:t>
      </w:r>
    </w:p>
    <w:p w:rsidR="00FC60EF" w:rsidRDefault="00994291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FC60EF" w:rsidRDefault="00994291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FC60EF" w:rsidRDefault="00994291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FC60EF" w:rsidRDefault="0099429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FC60EF" w:rsidRDefault="00994291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</w:t>
      </w:r>
      <w:r>
        <w:rPr>
          <w:spacing w:val="-1"/>
          <w:sz w:val="28"/>
          <w:szCs w:val="28"/>
        </w:rPr>
        <w:t>беспечению безопасности</w:t>
      </w:r>
      <w:r w:rsidR="00C667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FC60EF" w:rsidRDefault="00994291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FC60EF" w:rsidRDefault="00994291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C6674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</w:t>
      </w:r>
      <w:r>
        <w:rPr>
          <w:sz w:val="28"/>
          <w:szCs w:val="28"/>
        </w:rPr>
        <w:t>тах жизнеобеспечения;</w:t>
      </w:r>
    </w:p>
    <w:p w:rsidR="00FC60EF" w:rsidRDefault="00994291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C60EF" w:rsidRDefault="00994291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FC60EF" w:rsidRDefault="00994291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</w:t>
      </w:r>
      <w:r>
        <w:rPr>
          <w:spacing w:val="-1"/>
          <w:sz w:val="28"/>
          <w:szCs w:val="28"/>
        </w:rPr>
        <w:t>нтроль места массового пребывания людей;</w:t>
      </w:r>
    </w:p>
    <w:p w:rsidR="00FC60EF" w:rsidRDefault="00994291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FC60EF" w:rsidRDefault="00FC60E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FC60EF" w:rsidRDefault="00FC60E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FC60EF">
        <w:trPr>
          <w:trHeight w:val="647"/>
        </w:trPr>
        <w:tc>
          <w:tcPr>
            <w:tcW w:w="6804" w:type="dxa"/>
            <w:noWrap/>
            <w:vAlign w:val="bottom"/>
          </w:tcPr>
          <w:p w:rsidR="00FC60EF" w:rsidRDefault="00994291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FC60EF" w:rsidRDefault="00994291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FC60EF" w:rsidRDefault="00994291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FC60EF" w:rsidRDefault="00C66742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4291">
              <w:rPr>
                <w:sz w:val="28"/>
                <w:szCs w:val="28"/>
              </w:rPr>
              <w:t>одполковник</w:t>
            </w:r>
            <w:r>
              <w:rPr>
                <w:sz w:val="28"/>
                <w:szCs w:val="28"/>
              </w:rPr>
              <w:t xml:space="preserve"> </w:t>
            </w:r>
            <w:r w:rsidR="00994291">
              <w:rPr>
                <w:sz w:val="28"/>
                <w:szCs w:val="28"/>
              </w:rPr>
              <w:t xml:space="preserve">внутренней </w:t>
            </w:r>
            <w:r w:rsidR="00994291">
              <w:rPr>
                <w:color w:val="000000" w:themeColor="text1"/>
                <w:sz w:val="28"/>
                <w:szCs w:val="28"/>
              </w:rPr>
              <w:t>службы</w:t>
            </w:r>
          </w:p>
        </w:tc>
        <w:tc>
          <w:tcPr>
            <w:tcW w:w="3402" w:type="dxa"/>
            <w:noWrap/>
            <w:vAlign w:val="bottom"/>
          </w:tcPr>
          <w:p w:rsidR="00FC60EF" w:rsidRDefault="00994291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И.А.Ефимов</w:t>
            </w:r>
          </w:p>
        </w:tc>
      </w:tr>
    </w:tbl>
    <w:p w:rsidR="00FC60EF" w:rsidRDefault="00FC60EF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994291">
            <w:rPr>
              <w:color w:val="FFFFFF" w:themeColor="background1"/>
              <w:lang w:val="en-US"/>
            </w:rPr>
            <w:t>DSSIGNATURE</w:t>
          </w:r>
        </w:sdtContent>
      </w:sdt>
    </w:p>
    <w:p w:rsidR="00FC60EF" w:rsidRDefault="00FC60EF">
      <w:pPr>
        <w:tabs>
          <w:tab w:val="left" w:pos="5730"/>
        </w:tabs>
        <w:jc w:val="center"/>
      </w:pPr>
    </w:p>
    <w:sectPr w:rsidR="00FC60EF" w:rsidSect="00FC60E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91" w:rsidRDefault="00994291">
      <w:r>
        <w:separator/>
      </w:r>
    </w:p>
  </w:endnote>
  <w:endnote w:type="continuationSeparator" w:id="1">
    <w:p w:rsidR="00994291" w:rsidRDefault="0099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91" w:rsidRDefault="00994291">
      <w:r>
        <w:separator/>
      </w:r>
    </w:p>
  </w:footnote>
  <w:footnote w:type="continuationSeparator" w:id="1">
    <w:p w:rsidR="00994291" w:rsidRDefault="0099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FC60EF" w:rsidRDefault="00FC60EF">
        <w:pPr>
          <w:pStyle w:val="Header"/>
          <w:jc w:val="center"/>
        </w:pPr>
        <w:r>
          <w:rPr>
            <w:sz w:val="24"/>
          </w:rPr>
          <w:fldChar w:fldCharType="begin"/>
        </w:r>
        <w:r w:rsidR="00994291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C66742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98D"/>
    <w:multiLevelType w:val="hybridMultilevel"/>
    <w:tmpl w:val="EBC8DD00"/>
    <w:lvl w:ilvl="0" w:tplc="CF84A6B4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E0F81578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A06DB66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6AE68558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FBBCF91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142AEAA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39B09950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2F1E0EF2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AAE82570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">
    <w:nsid w:val="3B8E084F"/>
    <w:multiLevelType w:val="hybridMultilevel"/>
    <w:tmpl w:val="3348D8BA"/>
    <w:lvl w:ilvl="0" w:tplc="12A47F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1A9C62">
      <w:start w:val="1"/>
      <w:numFmt w:val="lowerLetter"/>
      <w:lvlText w:val="%2."/>
      <w:lvlJc w:val="left"/>
      <w:pPr>
        <w:ind w:left="1440" w:hanging="360"/>
      </w:pPr>
    </w:lvl>
    <w:lvl w:ilvl="2" w:tplc="FFCCFCF0">
      <w:start w:val="1"/>
      <w:numFmt w:val="lowerRoman"/>
      <w:lvlText w:val="%3."/>
      <w:lvlJc w:val="right"/>
      <w:pPr>
        <w:ind w:left="2160" w:hanging="180"/>
      </w:pPr>
    </w:lvl>
    <w:lvl w:ilvl="3" w:tplc="17EE4E3E">
      <w:start w:val="1"/>
      <w:numFmt w:val="decimal"/>
      <w:lvlText w:val="%4."/>
      <w:lvlJc w:val="left"/>
      <w:pPr>
        <w:ind w:left="2880" w:hanging="360"/>
      </w:pPr>
    </w:lvl>
    <w:lvl w:ilvl="4" w:tplc="0F102134">
      <w:start w:val="1"/>
      <w:numFmt w:val="lowerLetter"/>
      <w:lvlText w:val="%5."/>
      <w:lvlJc w:val="left"/>
      <w:pPr>
        <w:ind w:left="3600" w:hanging="360"/>
      </w:pPr>
    </w:lvl>
    <w:lvl w:ilvl="5" w:tplc="49A6DD0E">
      <w:start w:val="1"/>
      <w:numFmt w:val="lowerRoman"/>
      <w:lvlText w:val="%6."/>
      <w:lvlJc w:val="right"/>
      <w:pPr>
        <w:ind w:left="4320" w:hanging="180"/>
      </w:pPr>
    </w:lvl>
    <w:lvl w:ilvl="6" w:tplc="1C52C6E0">
      <w:start w:val="1"/>
      <w:numFmt w:val="decimal"/>
      <w:lvlText w:val="%7."/>
      <w:lvlJc w:val="left"/>
      <w:pPr>
        <w:ind w:left="5040" w:hanging="360"/>
      </w:pPr>
    </w:lvl>
    <w:lvl w:ilvl="7" w:tplc="0B8E837C">
      <w:start w:val="1"/>
      <w:numFmt w:val="lowerLetter"/>
      <w:lvlText w:val="%8."/>
      <w:lvlJc w:val="left"/>
      <w:pPr>
        <w:ind w:left="5760" w:hanging="360"/>
      </w:pPr>
    </w:lvl>
    <w:lvl w:ilvl="8" w:tplc="B41E5E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4499"/>
    <w:multiLevelType w:val="hybridMultilevel"/>
    <w:tmpl w:val="A2F888C4"/>
    <w:lvl w:ilvl="0" w:tplc="3F142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2D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4B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C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46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2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C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49DF"/>
    <w:multiLevelType w:val="hybridMultilevel"/>
    <w:tmpl w:val="5B02BD8E"/>
    <w:lvl w:ilvl="0" w:tplc="62689F5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3482E5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007D7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EE05E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61259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1865A6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AE2A193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ECFF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6E439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FD14483"/>
    <w:multiLevelType w:val="hybridMultilevel"/>
    <w:tmpl w:val="2BFCB170"/>
    <w:lvl w:ilvl="0" w:tplc="8C120E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B26F8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18C61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8414905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BEEA4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C32A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944E28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6158EA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6690B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7C2173D"/>
    <w:multiLevelType w:val="hybridMultilevel"/>
    <w:tmpl w:val="6E32D3D8"/>
    <w:lvl w:ilvl="0" w:tplc="A6D4AEFC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8674956C">
      <w:numFmt w:val="none"/>
      <w:lvlText w:val=""/>
      <w:lvlJc w:val="left"/>
      <w:pPr>
        <w:tabs>
          <w:tab w:val="num" w:pos="360"/>
        </w:tabs>
      </w:pPr>
    </w:lvl>
    <w:lvl w:ilvl="2" w:tplc="D6B44AE2">
      <w:numFmt w:val="none"/>
      <w:lvlText w:val=""/>
      <w:lvlJc w:val="left"/>
      <w:pPr>
        <w:tabs>
          <w:tab w:val="num" w:pos="360"/>
        </w:tabs>
      </w:pPr>
    </w:lvl>
    <w:lvl w:ilvl="3" w:tplc="2BC23332">
      <w:numFmt w:val="none"/>
      <w:lvlText w:val=""/>
      <w:lvlJc w:val="left"/>
      <w:pPr>
        <w:tabs>
          <w:tab w:val="num" w:pos="360"/>
        </w:tabs>
      </w:pPr>
    </w:lvl>
    <w:lvl w:ilvl="4" w:tplc="4BAC853C">
      <w:numFmt w:val="none"/>
      <w:lvlText w:val=""/>
      <w:lvlJc w:val="left"/>
      <w:pPr>
        <w:tabs>
          <w:tab w:val="num" w:pos="360"/>
        </w:tabs>
      </w:pPr>
    </w:lvl>
    <w:lvl w:ilvl="5" w:tplc="DA80EB50">
      <w:numFmt w:val="none"/>
      <w:lvlText w:val=""/>
      <w:lvlJc w:val="left"/>
      <w:pPr>
        <w:tabs>
          <w:tab w:val="num" w:pos="360"/>
        </w:tabs>
      </w:pPr>
    </w:lvl>
    <w:lvl w:ilvl="6" w:tplc="037026E6">
      <w:numFmt w:val="none"/>
      <w:lvlText w:val=""/>
      <w:lvlJc w:val="left"/>
      <w:pPr>
        <w:tabs>
          <w:tab w:val="num" w:pos="360"/>
        </w:tabs>
      </w:pPr>
    </w:lvl>
    <w:lvl w:ilvl="7" w:tplc="CA106ACA">
      <w:numFmt w:val="none"/>
      <w:lvlText w:val=""/>
      <w:lvlJc w:val="left"/>
      <w:pPr>
        <w:tabs>
          <w:tab w:val="num" w:pos="360"/>
        </w:tabs>
      </w:pPr>
    </w:lvl>
    <w:lvl w:ilvl="8" w:tplc="6068E8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0EF"/>
    <w:rsid w:val="00994291"/>
    <w:rsid w:val="00B822A3"/>
    <w:rsid w:val="00C66742"/>
    <w:rsid w:val="00FC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C60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C60E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C60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60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60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C60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C60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60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C60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60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C60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60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60E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C60E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C60E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60E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60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60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60E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60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60EF"/>
    <w:rPr>
      <w:i/>
    </w:rPr>
  </w:style>
  <w:style w:type="character" w:customStyle="1" w:styleId="HeaderChar">
    <w:name w:val="Header Char"/>
    <w:basedOn w:val="a0"/>
    <w:link w:val="Header"/>
    <w:uiPriority w:val="99"/>
    <w:rsid w:val="00FC60EF"/>
  </w:style>
  <w:style w:type="character" w:customStyle="1" w:styleId="FooterChar">
    <w:name w:val="Footer Char"/>
    <w:basedOn w:val="a0"/>
    <w:link w:val="Footer"/>
    <w:uiPriority w:val="99"/>
    <w:rsid w:val="00FC60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60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60EF"/>
  </w:style>
  <w:style w:type="table" w:customStyle="1" w:styleId="TableGridLight">
    <w:name w:val="Table Grid Light"/>
    <w:basedOn w:val="a1"/>
    <w:uiPriority w:val="59"/>
    <w:rsid w:val="00FC60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60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60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60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60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60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60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60E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60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C60EF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C60EF"/>
    <w:rPr>
      <w:sz w:val="18"/>
    </w:rPr>
  </w:style>
  <w:style w:type="character" w:styleId="ab">
    <w:name w:val="footnote reference"/>
    <w:basedOn w:val="a0"/>
    <w:uiPriority w:val="99"/>
    <w:unhideWhenUsed/>
    <w:rsid w:val="00FC60E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C60EF"/>
  </w:style>
  <w:style w:type="character" w:customStyle="1" w:styleId="ad">
    <w:name w:val="Текст концевой сноски Знак"/>
    <w:link w:val="ac"/>
    <w:uiPriority w:val="99"/>
    <w:rsid w:val="00FC60EF"/>
    <w:rPr>
      <w:sz w:val="20"/>
    </w:rPr>
  </w:style>
  <w:style w:type="character" w:styleId="ae">
    <w:name w:val="endnote reference"/>
    <w:basedOn w:val="a0"/>
    <w:uiPriority w:val="99"/>
    <w:semiHidden/>
    <w:unhideWhenUsed/>
    <w:rsid w:val="00FC60E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60EF"/>
    <w:pPr>
      <w:spacing w:after="57"/>
    </w:pPr>
  </w:style>
  <w:style w:type="paragraph" w:styleId="21">
    <w:name w:val="toc 2"/>
    <w:basedOn w:val="a"/>
    <w:next w:val="a"/>
    <w:uiPriority w:val="39"/>
    <w:unhideWhenUsed/>
    <w:rsid w:val="00FC60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60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60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60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60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60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60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60EF"/>
    <w:pPr>
      <w:spacing w:after="57"/>
      <w:ind w:left="2268"/>
    </w:pPr>
  </w:style>
  <w:style w:type="paragraph" w:styleId="af">
    <w:name w:val="TOC Heading"/>
    <w:uiPriority w:val="39"/>
    <w:unhideWhenUsed/>
    <w:rsid w:val="00FC60EF"/>
  </w:style>
  <w:style w:type="paragraph" w:styleId="af0">
    <w:name w:val="table of figures"/>
    <w:basedOn w:val="a"/>
    <w:next w:val="a"/>
    <w:uiPriority w:val="99"/>
    <w:unhideWhenUsed/>
    <w:rsid w:val="00FC60EF"/>
  </w:style>
  <w:style w:type="paragraph" w:customStyle="1" w:styleId="Heading1">
    <w:name w:val="Heading 1"/>
    <w:basedOn w:val="a"/>
    <w:next w:val="a"/>
    <w:link w:val="10"/>
    <w:qFormat/>
    <w:rsid w:val="00FC60E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FC60EF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C60EF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FC60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FC60EF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FC60EF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FC60EF"/>
    <w:pPr>
      <w:widowControl/>
    </w:pPr>
    <w:rPr>
      <w:rFonts w:ascii="Courier New" w:hAnsi="Courier New" w:cs="Courier New"/>
    </w:rPr>
  </w:style>
  <w:style w:type="character" w:styleId="af2">
    <w:name w:val="Hyperlink"/>
    <w:rsid w:val="00FC60EF"/>
    <w:rPr>
      <w:color w:val="0000FF"/>
      <w:u w:val="single"/>
    </w:rPr>
  </w:style>
  <w:style w:type="paragraph" w:customStyle="1" w:styleId="11">
    <w:name w:val="Знак Знак1 Знак"/>
    <w:basedOn w:val="a"/>
    <w:rsid w:val="00FC60EF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FC6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FC60EF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FC60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C60EF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FC60EF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FC60EF"/>
    <w:rPr>
      <w:sz w:val="28"/>
      <w:szCs w:val="24"/>
    </w:rPr>
  </w:style>
  <w:style w:type="character" w:styleId="af8">
    <w:name w:val="page number"/>
    <w:rsid w:val="00FC60EF"/>
  </w:style>
  <w:style w:type="table" w:customStyle="1" w:styleId="12">
    <w:name w:val="Сетка таблицы1"/>
    <w:basedOn w:val="a1"/>
    <w:next w:val="af3"/>
    <w:uiPriority w:val="59"/>
    <w:rsid w:val="00FC60EF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FC60E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FC60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FC60EF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FC60EF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FC60EF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FC60E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FC60EF"/>
  </w:style>
  <w:style w:type="paragraph" w:styleId="afe">
    <w:name w:val="Body Text"/>
    <w:basedOn w:val="a"/>
    <w:link w:val="aff"/>
    <w:unhideWhenUsed/>
    <w:rsid w:val="00FC60EF"/>
    <w:pPr>
      <w:spacing w:after="120"/>
    </w:pPr>
  </w:style>
  <w:style w:type="character" w:customStyle="1" w:styleId="aff">
    <w:name w:val="Основной текст Знак"/>
    <w:basedOn w:val="a0"/>
    <w:link w:val="afe"/>
    <w:rsid w:val="00FC60EF"/>
  </w:style>
  <w:style w:type="paragraph" w:styleId="aff0">
    <w:name w:val="Body Text First Indent"/>
    <w:basedOn w:val="afe"/>
    <w:link w:val="aff1"/>
    <w:rsid w:val="00FC60EF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FC60EF"/>
  </w:style>
  <w:style w:type="character" w:customStyle="1" w:styleId="doccaption">
    <w:name w:val="doccaption"/>
    <w:basedOn w:val="a0"/>
    <w:qFormat/>
    <w:rsid w:val="00FC60EF"/>
  </w:style>
  <w:style w:type="paragraph" w:customStyle="1" w:styleId="Footer">
    <w:name w:val="Footer"/>
    <w:basedOn w:val="a"/>
    <w:link w:val="aff2"/>
    <w:semiHidden/>
    <w:unhideWhenUsed/>
    <w:rsid w:val="00FC60EF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FC60EF"/>
  </w:style>
  <w:style w:type="paragraph" w:styleId="22">
    <w:name w:val="Body Text Indent 2"/>
    <w:basedOn w:val="a"/>
    <w:link w:val="23"/>
    <w:semiHidden/>
    <w:unhideWhenUsed/>
    <w:rsid w:val="00FC60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C60EF"/>
  </w:style>
  <w:style w:type="paragraph" w:customStyle="1" w:styleId="13">
    <w:name w:val="Верхний колонтитул1"/>
    <w:basedOn w:val="a"/>
    <w:uiPriority w:val="99"/>
    <w:rsid w:val="00FC60EF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FC60EF"/>
    <w:rPr>
      <w:b/>
      <w:bCs/>
    </w:rPr>
  </w:style>
  <w:style w:type="paragraph" w:styleId="aff4">
    <w:name w:val="Normal (Web)"/>
    <w:basedOn w:val="a"/>
    <w:uiPriority w:val="99"/>
    <w:unhideWhenUsed/>
    <w:rsid w:val="00FC60E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C60EF"/>
  </w:style>
  <w:style w:type="paragraph" w:customStyle="1" w:styleId="ConsPlusTitle">
    <w:name w:val="ConsPlusTitle"/>
    <w:rsid w:val="00FC60EF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4">
    <w:name w:val="Обычный (веб)1"/>
    <w:uiPriority w:val="99"/>
    <w:rsid w:val="00FC60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7B07CB" w:rsidRDefault="004E5E80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7B07CB" w:rsidRDefault="004E5E80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80" w:rsidRDefault="004E5E80">
      <w:pPr>
        <w:spacing w:after="0" w:line="240" w:lineRule="auto"/>
      </w:pPr>
      <w:r>
        <w:separator/>
      </w:r>
    </w:p>
  </w:endnote>
  <w:endnote w:type="continuationSeparator" w:id="1">
    <w:p w:rsidR="004E5E80" w:rsidRDefault="004E5E8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80" w:rsidRDefault="004E5E80">
      <w:pPr>
        <w:spacing w:after="0" w:line="240" w:lineRule="auto"/>
      </w:pPr>
      <w:r>
        <w:separator/>
      </w:r>
    </w:p>
  </w:footnote>
  <w:footnote w:type="continuationSeparator" w:id="1">
    <w:p w:rsidR="004E5E80" w:rsidRDefault="004E5E8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7CB"/>
    <w:rsid w:val="004E5E80"/>
    <w:rsid w:val="007B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B07C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B07C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B07C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B07C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07C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B07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07C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B07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07C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B07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07C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B07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07C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B07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07C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B07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07C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B07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07CB"/>
    <w:pPr>
      <w:ind w:left="720"/>
      <w:contextualSpacing/>
    </w:pPr>
  </w:style>
  <w:style w:type="paragraph" w:styleId="a4">
    <w:name w:val="No Spacing"/>
    <w:uiPriority w:val="1"/>
    <w:qFormat/>
    <w:rsid w:val="007B07C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B07C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B07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07C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07C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07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07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07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07C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B07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B07CB"/>
  </w:style>
  <w:style w:type="paragraph" w:customStyle="1" w:styleId="Footer">
    <w:name w:val="Footer"/>
    <w:basedOn w:val="a"/>
    <w:link w:val="CaptionChar"/>
    <w:uiPriority w:val="99"/>
    <w:unhideWhenUsed/>
    <w:rsid w:val="007B07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B07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07C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B07CB"/>
  </w:style>
  <w:style w:type="table" w:styleId="ab">
    <w:name w:val="Table Grid"/>
    <w:basedOn w:val="a1"/>
    <w:uiPriority w:val="59"/>
    <w:rsid w:val="007B07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07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07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B0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07C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0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B07C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B07C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B07CB"/>
    <w:rPr>
      <w:sz w:val="18"/>
    </w:rPr>
  </w:style>
  <w:style w:type="character" w:styleId="af">
    <w:name w:val="footnote reference"/>
    <w:basedOn w:val="a0"/>
    <w:uiPriority w:val="99"/>
    <w:unhideWhenUsed/>
    <w:rsid w:val="007B07C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07C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07CB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07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B07CB"/>
    <w:pPr>
      <w:spacing w:after="57"/>
    </w:pPr>
  </w:style>
  <w:style w:type="paragraph" w:styleId="21">
    <w:name w:val="toc 2"/>
    <w:basedOn w:val="a"/>
    <w:next w:val="a"/>
    <w:uiPriority w:val="39"/>
    <w:unhideWhenUsed/>
    <w:rsid w:val="007B07C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07C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07C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07C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07C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07C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07C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07CB"/>
    <w:pPr>
      <w:spacing w:after="57"/>
      <w:ind w:left="2268"/>
    </w:pPr>
  </w:style>
  <w:style w:type="paragraph" w:styleId="af3">
    <w:name w:val="TOC Heading"/>
    <w:uiPriority w:val="39"/>
    <w:unhideWhenUsed/>
    <w:rsid w:val="007B07CB"/>
  </w:style>
  <w:style w:type="paragraph" w:styleId="af4">
    <w:name w:val="table of figures"/>
    <w:basedOn w:val="a"/>
    <w:next w:val="a"/>
    <w:uiPriority w:val="99"/>
    <w:unhideWhenUsed/>
    <w:rsid w:val="007B07CB"/>
    <w:pPr>
      <w:spacing w:after="0"/>
    </w:pPr>
  </w:style>
  <w:style w:type="character" w:styleId="af5">
    <w:name w:val="Placeholder Text"/>
    <w:basedOn w:val="a0"/>
    <w:uiPriority w:val="99"/>
    <w:semiHidden/>
    <w:rsid w:val="007B07CB"/>
  </w:style>
  <w:style w:type="paragraph" w:customStyle="1" w:styleId="7E74823311D342439B60D90BBED925B2">
    <w:name w:val="7E74823311D342439B60D90BBED925B2"/>
    <w:rsid w:val="007B07CB"/>
  </w:style>
  <w:style w:type="paragraph" w:customStyle="1" w:styleId="A9EBC4CC586F4FE0B0E2DD3108034CB9">
    <w:name w:val="A9EBC4CC586F4FE0B0E2DD3108034CB9"/>
    <w:rsid w:val="007B07CB"/>
  </w:style>
  <w:style w:type="paragraph" w:customStyle="1" w:styleId="5440369EF7E64DD4B77146481F94B02B">
    <w:name w:val="5440369EF7E64DD4B77146481F94B02B"/>
    <w:rsid w:val="007B07CB"/>
  </w:style>
  <w:style w:type="paragraph" w:customStyle="1" w:styleId="2705E7C1E43C4A3A8F550C4471166FBE">
    <w:name w:val="2705E7C1E43C4A3A8F550C4471166FBE"/>
    <w:rsid w:val="007B07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53F28-2770-4FED-9E3A-BB326E90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6015</Characters>
  <Application>Microsoft Office Word</Application>
  <DocSecurity>0</DocSecurity>
  <Lines>50</Lines>
  <Paragraphs>14</Paragraphs>
  <ScaleCrop>false</ScaleCrop>
  <Company>УГЗ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2024-01-31T10:55:00Z</dcterms:created>
  <dcterms:modified xsi:type="dcterms:W3CDTF">2024-01-31T10:57:00Z</dcterms:modified>
</cp:coreProperties>
</file>